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AB34" w14:textId="77777777" w:rsidR="001A716B" w:rsidRDefault="001A716B"/>
    <w:p w14:paraId="0AE8CCB9" w14:textId="77777777" w:rsidR="001A716B" w:rsidRPr="001A716B" w:rsidRDefault="002C6B42" w:rsidP="001A716B">
      <w:r>
        <w:t xml:space="preserve">                                               </w:t>
      </w:r>
    </w:p>
    <w:p w14:paraId="20029F17" w14:textId="760B80EB" w:rsidR="002C6B42" w:rsidRPr="00936E4D" w:rsidRDefault="002C6B42" w:rsidP="002C6B42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</w:t>
      </w:r>
      <w:r w:rsidRPr="00936E4D">
        <w:rPr>
          <w:rFonts w:ascii="Arial" w:hAnsi="Arial" w:cs="Arial"/>
          <w:b/>
          <w:sz w:val="22"/>
          <w:szCs w:val="22"/>
        </w:rPr>
        <w:t xml:space="preserve">Załącznik nr </w:t>
      </w:r>
      <w:r w:rsidR="00D740F0">
        <w:rPr>
          <w:rFonts w:ascii="Arial" w:hAnsi="Arial" w:cs="Arial"/>
          <w:b/>
          <w:sz w:val="22"/>
          <w:szCs w:val="22"/>
        </w:rPr>
        <w:t>1</w:t>
      </w:r>
      <w:r w:rsidR="001E720A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AC55310" w14:textId="77777777" w:rsidR="00936E4D" w:rsidRPr="003E38F8" w:rsidRDefault="00936E4D" w:rsidP="002C6B42">
      <w:pPr>
        <w:rPr>
          <w:rFonts w:ascii="Calibri" w:hAnsi="Calibri" w:cs="Calibri"/>
          <w:b/>
        </w:rPr>
      </w:pPr>
    </w:p>
    <w:p w14:paraId="0889BE97" w14:textId="79CB7BAB" w:rsidR="002C6B42" w:rsidRPr="00F27B8F" w:rsidRDefault="002C6B42" w:rsidP="002C6B42">
      <w:pPr>
        <w:rPr>
          <w:rFonts w:ascii="Arial" w:hAnsi="Arial" w:cs="Arial"/>
          <w:bCs/>
        </w:rPr>
      </w:pPr>
      <w:r>
        <w:rPr>
          <w:rFonts w:ascii="Calibri" w:hAnsi="Calibri" w:cs="Calibri"/>
          <w:b/>
        </w:rPr>
        <w:t xml:space="preserve"> </w:t>
      </w:r>
      <w:r w:rsidRPr="00F27B8F">
        <w:rPr>
          <w:rFonts w:ascii="Arial" w:hAnsi="Arial" w:cs="Arial"/>
          <w:bCs/>
        </w:rPr>
        <w:t>Znak sprawy WSPL-DL.261</w:t>
      </w:r>
      <w:r w:rsidR="00333D8D" w:rsidRPr="00F27B8F">
        <w:rPr>
          <w:rFonts w:ascii="Arial" w:hAnsi="Arial" w:cs="Arial"/>
          <w:bCs/>
        </w:rPr>
        <w:t>3</w:t>
      </w:r>
      <w:r w:rsidR="00494738" w:rsidRPr="00F27B8F">
        <w:rPr>
          <w:rFonts w:ascii="Arial" w:hAnsi="Arial" w:cs="Arial"/>
          <w:bCs/>
        </w:rPr>
        <w:t>.</w:t>
      </w:r>
      <w:r w:rsidR="00813904">
        <w:rPr>
          <w:rFonts w:ascii="Arial" w:hAnsi="Arial" w:cs="Arial"/>
          <w:bCs/>
        </w:rPr>
        <w:t>8</w:t>
      </w:r>
      <w:r w:rsidR="000F6DE9" w:rsidRPr="00F27B8F">
        <w:rPr>
          <w:rFonts w:ascii="Arial" w:hAnsi="Arial" w:cs="Arial"/>
          <w:bCs/>
        </w:rPr>
        <w:t>.</w:t>
      </w:r>
      <w:r w:rsidRPr="00F27B8F">
        <w:rPr>
          <w:rFonts w:ascii="Arial" w:hAnsi="Arial" w:cs="Arial"/>
          <w:bCs/>
        </w:rPr>
        <w:t>202</w:t>
      </w:r>
      <w:r w:rsidR="00813904">
        <w:rPr>
          <w:rFonts w:ascii="Arial" w:hAnsi="Arial" w:cs="Arial"/>
          <w:bCs/>
        </w:rPr>
        <w:t>4</w:t>
      </w:r>
    </w:p>
    <w:p w14:paraId="27614BA6" w14:textId="77777777" w:rsidR="002C6B42" w:rsidRDefault="002C6B42" w:rsidP="002C6B42">
      <w:pPr>
        <w:rPr>
          <w:rFonts w:ascii="Calibri" w:hAnsi="Calibri" w:cs="Calibri"/>
          <w:b/>
          <w:u w:val="single"/>
        </w:rPr>
      </w:pPr>
    </w:p>
    <w:p w14:paraId="5A9FD9E6" w14:textId="77777777" w:rsidR="002C6B42" w:rsidRDefault="002C6B42" w:rsidP="002C6B42">
      <w:pPr>
        <w:rPr>
          <w:rFonts w:ascii="Calibri" w:hAnsi="Calibri" w:cs="Calibri"/>
          <w:b/>
          <w:u w:val="single"/>
        </w:rPr>
      </w:pPr>
    </w:p>
    <w:p w14:paraId="4177280B" w14:textId="77777777" w:rsidR="002C6B42" w:rsidRDefault="002C6B42" w:rsidP="002C6B42">
      <w:pPr>
        <w:rPr>
          <w:rFonts w:ascii="Calibri" w:hAnsi="Calibri" w:cs="Calibri"/>
          <w:b/>
          <w:u w:val="single"/>
        </w:rPr>
      </w:pPr>
    </w:p>
    <w:p w14:paraId="1347FF85" w14:textId="77777777" w:rsidR="002C6B42" w:rsidRDefault="002C6B42" w:rsidP="002C6B42">
      <w:pPr>
        <w:rPr>
          <w:rFonts w:ascii="Calibri" w:hAnsi="Calibri" w:cs="Calibri"/>
          <w:b/>
          <w:u w:val="single"/>
        </w:rPr>
      </w:pPr>
    </w:p>
    <w:p w14:paraId="4C225CC5" w14:textId="77777777" w:rsidR="002C6B42" w:rsidRDefault="002C6B42" w:rsidP="002C6B42">
      <w:pPr>
        <w:jc w:val="center"/>
        <w:rPr>
          <w:rFonts w:ascii="Calibri" w:hAnsi="Calibri" w:cs="Calibri"/>
          <w:b/>
          <w:u w:val="single"/>
        </w:rPr>
      </w:pPr>
    </w:p>
    <w:p w14:paraId="5D4DC808" w14:textId="02E48923" w:rsidR="002C6B42" w:rsidRPr="00471055" w:rsidRDefault="002C6B42" w:rsidP="002C6B42">
      <w:pPr>
        <w:jc w:val="center"/>
        <w:rPr>
          <w:rFonts w:ascii="Arial" w:hAnsi="Arial" w:cs="Arial"/>
          <w:b/>
          <w:sz w:val="22"/>
          <w:szCs w:val="22"/>
        </w:rPr>
      </w:pPr>
      <w:r w:rsidRPr="00471055">
        <w:rPr>
          <w:rFonts w:ascii="Arial" w:hAnsi="Arial" w:cs="Arial"/>
          <w:b/>
          <w:sz w:val="22"/>
          <w:szCs w:val="22"/>
        </w:rPr>
        <w:t xml:space="preserve">Specyfikacja </w:t>
      </w:r>
      <w:r w:rsidR="000F6DE9">
        <w:rPr>
          <w:rFonts w:ascii="Arial" w:hAnsi="Arial" w:cs="Arial"/>
          <w:b/>
          <w:sz w:val="22"/>
          <w:szCs w:val="22"/>
        </w:rPr>
        <w:t>dla testów panelowych</w:t>
      </w:r>
      <w:r w:rsidRPr="00471055">
        <w:rPr>
          <w:rFonts w:ascii="Arial" w:hAnsi="Arial" w:cs="Arial"/>
          <w:b/>
          <w:sz w:val="22"/>
          <w:szCs w:val="22"/>
        </w:rPr>
        <w:t>.</w:t>
      </w:r>
    </w:p>
    <w:p w14:paraId="0BFFCC47" w14:textId="77777777" w:rsidR="002C6B42" w:rsidRPr="00471055" w:rsidRDefault="002C6B42" w:rsidP="002C6B42">
      <w:pPr>
        <w:jc w:val="center"/>
        <w:rPr>
          <w:rFonts w:ascii="Arial" w:hAnsi="Arial" w:cs="Arial"/>
          <w:b/>
          <w:sz w:val="22"/>
          <w:szCs w:val="22"/>
        </w:rPr>
      </w:pPr>
    </w:p>
    <w:p w14:paraId="3F424483" w14:textId="6613A81D" w:rsidR="00471055" w:rsidRDefault="00471055" w:rsidP="002C6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Niespełnienie co najmniej jednego z postawionych poniżej wymagań co do ich wartości minimalnych spowoduje odrzucenie oferty.</w:t>
      </w:r>
    </w:p>
    <w:p w14:paraId="1B254564" w14:textId="1AB4D6AE" w:rsidR="00471055" w:rsidRPr="00471055" w:rsidRDefault="00471055" w:rsidP="002C6B42">
      <w:pPr>
        <w:rPr>
          <w:rFonts w:ascii="Arial" w:hAnsi="Arial" w:cs="Arial"/>
          <w:sz w:val="22"/>
          <w:szCs w:val="22"/>
        </w:rPr>
      </w:pPr>
      <w:r w:rsidRPr="00471055">
        <w:rPr>
          <w:rFonts w:ascii="Arial" w:hAnsi="Arial" w:cs="Arial"/>
          <w:b/>
          <w:bCs/>
          <w:sz w:val="22"/>
          <w:szCs w:val="22"/>
        </w:rPr>
        <w:t xml:space="preserve">Kolumnę </w:t>
      </w:r>
      <w:r w:rsidR="00A728F3">
        <w:rPr>
          <w:rFonts w:ascii="Arial" w:hAnsi="Arial" w:cs="Arial"/>
          <w:b/>
          <w:bCs/>
          <w:sz w:val="22"/>
          <w:szCs w:val="22"/>
        </w:rPr>
        <w:t>3</w:t>
      </w:r>
      <w:r w:rsidRPr="00471055">
        <w:rPr>
          <w:rFonts w:ascii="Arial" w:hAnsi="Arial" w:cs="Arial"/>
          <w:b/>
          <w:bCs/>
          <w:sz w:val="22"/>
          <w:szCs w:val="22"/>
        </w:rPr>
        <w:t xml:space="preserve"> wypełnia Wykonawca</w:t>
      </w:r>
      <w:r>
        <w:rPr>
          <w:rFonts w:ascii="Arial" w:hAnsi="Arial" w:cs="Arial"/>
          <w:sz w:val="22"/>
          <w:szCs w:val="22"/>
        </w:rPr>
        <w:t>.</w:t>
      </w:r>
    </w:p>
    <w:p w14:paraId="4E7AC15E" w14:textId="77777777" w:rsidR="001A716B" w:rsidRPr="001A716B" w:rsidRDefault="001A716B" w:rsidP="001A716B"/>
    <w:p w14:paraId="56590857" w14:textId="77777777" w:rsidR="001A716B" w:rsidRPr="001A716B" w:rsidRDefault="001A716B" w:rsidP="001A716B"/>
    <w:p w14:paraId="30A1DF9A" w14:textId="77777777" w:rsidR="001A716B" w:rsidRDefault="001A716B" w:rsidP="001A716B"/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568"/>
        <w:gridCol w:w="1984"/>
      </w:tblGrid>
      <w:tr w:rsidR="00F61254" w:rsidRPr="00BA7380" w14:paraId="721F85BF" w14:textId="77777777" w:rsidTr="00F61254">
        <w:tc>
          <w:tcPr>
            <w:tcW w:w="587" w:type="dxa"/>
            <w:vAlign w:val="center"/>
          </w:tcPr>
          <w:p w14:paraId="017D5361" w14:textId="77777777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738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8" w:type="dxa"/>
            <w:vAlign w:val="center"/>
          </w:tcPr>
          <w:p w14:paraId="3FF46FED" w14:textId="286B8B38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Pr="00BA7380">
              <w:rPr>
                <w:rFonts w:ascii="Calibri" w:hAnsi="Calibri" w:cs="Calibri"/>
                <w:b/>
                <w:bCs/>
                <w:sz w:val="24"/>
                <w:szCs w:val="24"/>
              </w:rPr>
              <w:t>PIS PARAMETR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ÓW</w:t>
            </w:r>
            <w:r w:rsidRPr="00BA73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WYMAGANY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1984" w:type="dxa"/>
            <w:vAlign w:val="center"/>
          </w:tcPr>
          <w:p w14:paraId="5AF13232" w14:textId="0CA5CDB6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Odpowiedź Wykonawcy- TAK/NIE </w:t>
            </w:r>
          </w:p>
        </w:tc>
      </w:tr>
      <w:tr w:rsidR="00F61254" w:rsidRPr="00BA7380" w14:paraId="0CF6E194" w14:textId="77777777" w:rsidTr="00F61254">
        <w:tc>
          <w:tcPr>
            <w:tcW w:w="587" w:type="dxa"/>
            <w:vAlign w:val="center"/>
          </w:tcPr>
          <w:p w14:paraId="594427FF" w14:textId="0A8662E4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8" w:type="dxa"/>
            <w:vAlign w:val="center"/>
          </w:tcPr>
          <w:p w14:paraId="26BF460B" w14:textId="608C7E85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6FB1A43E" w14:textId="12744BA6" w:rsidR="00F61254" w:rsidRPr="00BA7380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F61254" w:rsidRPr="00BA7380" w14:paraId="12C1E2C4" w14:textId="77777777" w:rsidTr="00F61254">
        <w:tc>
          <w:tcPr>
            <w:tcW w:w="587" w:type="dxa"/>
            <w:vAlign w:val="center"/>
          </w:tcPr>
          <w:p w14:paraId="7E1CEEC3" w14:textId="30EB84DD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568" w:type="dxa"/>
            <w:vAlign w:val="center"/>
          </w:tcPr>
          <w:p w14:paraId="3700A347" w14:textId="56478EA2" w:rsidR="00F61254" w:rsidRPr="00A728F3" w:rsidRDefault="00F61254" w:rsidP="00F612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8F3">
              <w:rPr>
                <w:rFonts w:ascii="Arial" w:hAnsi="Arial" w:cs="Arial"/>
              </w:rPr>
              <w:t>Testy paskowe- jeden pasek testowy przeznaczony na  jednego pacjenta</w:t>
            </w:r>
          </w:p>
        </w:tc>
        <w:tc>
          <w:tcPr>
            <w:tcW w:w="1984" w:type="dxa"/>
            <w:vAlign w:val="center"/>
          </w:tcPr>
          <w:p w14:paraId="35A4EA6B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6031988F" w14:textId="77777777" w:rsidTr="00F61254">
        <w:tc>
          <w:tcPr>
            <w:tcW w:w="587" w:type="dxa"/>
            <w:vAlign w:val="center"/>
          </w:tcPr>
          <w:p w14:paraId="58E5D44D" w14:textId="5654E0BD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568" w:type="dxa"/>
          </w:tcPr>
          <w:p w14:paraId="040E6FE8" w14:textId="7AA257D8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Minimum trzy linie standardowe (wartości niskie, średnie i wysokie) umożliwiające wykreślenie krzywej kalibracyjnej w czasie rzeczywistym do wykonania testu z uwzględnieniem tła- naniesione  na każdy pasek testowy</w:t>
            </w:r>
          </w:p>
        </w:tc>
        <w:tc>
          <w:tcPr>
            <w:tcW w:w="1984" w:type="dxa"/>
            <w:vAlign w:val="center"/>
          </w:tcPr>
          <w:p w14:paraId="31AD4B61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4E6AC7EF" w14:textId="77777777" w:rsidTr="00F61254">
        <w:tc>
          <w:tcPr>
            <w:tcW w:w="587" w:type="dxa"/>
            <w:vAlign w:val="center"/>
          </w:tcPr>
          <w:p w14:paraId="31328067" w14:textId="113E83F6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568" w:type="dxa"/>
            <w:vAlign w:val="center"/>
          </w:tcPr>
          <w:p w14:paraId="7974C894" w14:textId="6ABC030B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Odczynniki z zastosowaniem przeciwciał monoklonalnych</w:t>
            </w:r>
          </w:p>
        </w:tc>
        <w:tc>
          <w:tcPr>
            <w:tcW w:w="1984" w:type="dxa"/>
            <w:vAlign w:val="center"/>
          </w:tcPr>
          <w:p w14:paraId="7CE092C0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1785C869" w14:textId="77777777" w:rsidTr="00F61254">
        <w:tc>
          <w:tcPr>
            <w:tcW w:w="587" w:type="dxa"/>
            <w:vAlign w:val="center"/>
          </w:tcPr>
          <w:p w14:paraId="4C9C86B0" w14:textId="26592AEB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568" w:type="dxa"/>
            <w:vAlign w:val="center"/>
          </w:tcPr>
          <w:p w14:paraId="2BE7E6F4" w14:textId="568CAA5E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 standardach ludzkie IgE</w:t>
            </w:r>
          </w:p>
        </w:tc>
        <w:tc>
          <w:tcPr>
            <w:tcW w:w="1984" w:type="dxa"/>
            <w:vAlign w:val="center"/>
          </w:tcPr>
          <w:p w14:paraId="1879E653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272DB518" w14:textId="77777777" w:rsidTr="00F61254">
        <w:tc>
          <w:tcPr>
            <w:tcW w:w="587" w:type="dxa"/>
            <w:vAlign w:val="center"/>
          </w:tcPr>
          <w:p w14:paraId="6BE38EE8" w14:textId="45D035D7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568" w:type="dxa"/>
            <w:vAlign w:val="center"/>
          </w:tcPr>
          <w:p w14:paraId="13EE5C5C" w14:textId="6D70C4F1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Potwierdzony brak reakcji krzyżowych z IgG, IgA, IgM i IgD</w:t>
            </w:r>
          </w:p>
        </w:tc>
        <w:tc>
          <w:tcPr>
            <w:tcW w:w="1984" w:type="dxa"/>
            <w:vAlign w:val="center"/>
          </w:tcPr>
          <w:p w14:paraId="282B7B80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6FCDF5EF" w14:textId="77777777" w:rsidTr="00F61254">
        <w:tc>
          <w:tcPr>
            <w:tcW w:w="587" w:type="dxa"/>
            <w:vAlign w:val="center"/>
          </w:tcPr>
          <w:p w14:paraId="6D78BD5A" w14:textId="5FAE42FC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568" w:type="dxa"/>
            <w:vAlign w:val="center"/>
          </w:tcPr>
          <w:p w14:paraId="424DAB7F" w14:textId="77777777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Wyniki swoistych IgE dla każdego alergenu w panelu oceniany indywidualnie: podana jest klasa</w:t>
            </w:r>
          </w:p>
          <w:p w14:paraId="4C051B1C" w14:textId="1286D089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(od 0 do 6) oraz wynik liczbowy wyrażony w jednostkach międzynarodowych. Wynik przedstawiony jest graficznie.</w:t>
            </w:r>
          </w:p>
        </w:tc>
        <w:tc>
          <w:tcPr>
            <w:tcW w:w="1984" w:type="dxa"/>
            <w:vAlign w:val="center"/>
          </w:tcPr>
          <w:p w14:paraId="0FDB6C14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32A2BEF0" w14:textId="77777777" w:rsidTr="00F61254">
        <w:tc>
          <w:tcPr>
            <w:tcW w:w="587" w:type="dxa"/>
            <w:vAlign w:val="center"/>
          </w:tcPr>
          <w:p w14:paraId="4A6B3A54" w14:textId="3B4C9B22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568" w:type="dxa"/>
            <w:vAlign w:val="center"/>
          </w:tcPr>
          <w:p w14:paraId="0EA9765F" w14:textId="2A454B30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Wymagana objętość nierozcieńczonej surowicy na jedno badanie – maksymalnie 200µl</w:t>
            </w:r>
          </w:p>
        </w:tc>
        <w:tc>
          <w:tcPr>
            <w:tcW w:w="1984" w:type="dxa"/>
            <w:vAlign w:val="center"/>
          </w:tcPr>
          <w:p w14:paraId="1B0BE6D2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2289862F" w14:textId="77777777" w:rsidTr="00F61254">
        <w:tc>
          <w:tcPr>
            <w:tcW w:w="587" w:type="dxa"/>
            <w:vAlign w:val="center"/>
          </w:tcPr>
          <w:p w14:paraId="4935E800" w14:textId="04E83C2D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568" w:type="dxa"/>
            <w:vAlign w:val="center"/>
          </w:tcPr>
          <w:p w14:paraId="3412370B" w14:textId="529AF90C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Metoda nie może wymagać dodatkowej ingerencji przy badanej próbce (np. rozcieńczania surowicy)</w:t>
            </w:r>
          </w:p>
        </w:tc>
        <w:tc>
          <w:tcPr>
            <w:tcW w:w="1984" w:type="dxa"/>
            <w:vAlign w:val="center"/>
          </w:tcPr>
          <w:p w14:paraId="754CE8BD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23C7E374" w14:textId="77777777" w:rsidTr="00F61254">
        <w:tc>
          <w:tcPr>
            <w:tcW w:w="587" w:type="dxa"/>
            <w:vAlign w:val="center"/>
          </w:tcPr>
          <w:p w14:paraId="3C116BCC" w14:textId="5C592F23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6568" w:type="dxa"/>
            <w:vAlign w:val="center"/>
          </w:tcPr>
          <w:p w14:paraId="03614868" w14:textId="467DB681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Wymagana dolna granica wykrywalności od 0,15kU/L</w:t>
            </w:r>
          </w:p>
        </w:tc>
        <w:tc>
          <w:tcPr>
            <w:tcW w:w="1984" w:type="dxa"/>
            <w:vAlign w:val="center"/>
          </w:tcPr>
          <w:p w14:paraId="5680BC62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258EEA90" w14:textId="77777777" w:rsidTr="00F61254">
        <w:tc>
          <w:tcPr>
            <w:tcW w:w="587" w:type="dxa"/>
            <w:vAlign w:val="center"/>
          </w:tcPr>
          <w:p w14:paraId="09BEE73B" w14:textId="0C0ECBFA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568" w:type="dxa"/>
            <w:vAlign w:val="center"/>
          </w:tcPr>
          <w:p w14:paraId="7BB97156" w14:textId="6D2C54B5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Czas wykonania badania – do 3 godzin</w:t>
            </w:r>
          </w:p>
        </w:tc>
        <w:tc>
          <w:tcPr>
            <w:tcW w:w="1984" w:type="dxa"/>
            <w:vAlign w:val="center"/>
          </w:tcPr>
          <w:p w14:paraId="143DE535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5CC30ABC" w14:textId="77777777" w:rsidTr="00F61254">
        <w:tc>
          <w:tcPr>
            <w:tcW w:w="587" w:type="dxa"/>
            <w:vAlign w:val="center"/>
          </w:tcPr>
          <w:p w14:paraId="117BC9D2" w14:textId="45CAC8A3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568" w:type="dxa"/>
            <w:vAlign w:val="center"/>
          </w:tcPr>
          <w:p w14:paraId="54FA3902" w14:textId="33DD336D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Zestaw odczynnikowy powinien zawierać wszelkie odczynniki niezbędne do wykonania badań i inkubacji</w:t>
            </w:r>
          </w:p>
        </w:tc>
        <w:tc>
          <w:tcPr>
            <w:tcW w:w="1984" w:type="dxa"/>
            <w:vAlign w:val="center"/>
          </w:tcPr>
          <w:p w14:paraId="1E69D2A7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711A60AC" w14:textId="77777777" w:rsidTr="00F61254">
        <w:tc>
          <w:tcPr>
            <w:tcW w:w="587" w:type="dxa"/>
            <w:vAlign w:val="center"/>
          </w:tcPr>
          <w:p w14:paraId="289F9C61" w14:textId="39816394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6568" w:type="dxa"/>
            <w:vAlign w:val="center"/>
          </w:tcPr>
          <w:p w14:paraId="0E3EF707" w14:textId="59A13BDC" w:rsidR="00F61254" w:rsidRPr="00A728F3" w:rsidRDefault="00F61254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Wszystkie odczynniki gotowe do bezpośredniego użycia (dopuszcza się możliwość przygotowania buforu płuczącego – rozpuszczenie lub rozcieńczenie)</w:t>
            </w:r>
          </w:p>
        </w:tc>
        <w:tc>
          <w:tcPr>
            <w:tcW w:w="1984" w:type="dxa"/>
            <w:vAlign w:val="center"/>
          </w:tcPr>
          <w:p w14:paraId="20978D74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4E836FBE" w14:textId="77777777" w:rsidTr="00F61254">
        <w:tc>
          <w:tcPr>
            <w:tcW w:w="587" w:type="dxa"/>
            <w:vAlign w:val="center"/>
          </w:tcPr>
          <w:p w14:paraId="2AE13983" w14:textId="328FBDC0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568" w:type="dxa"/>
            <w:vAlign w:val="center"/>
          </w:tcPr>
          <w:p w14:paraId="1D6811EF" w14:textId="292912BF" w:rsidR="00F61254" w:rsidRPr="00A728F3" w:rsidRDefault="00A728F3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Trwałość buforu płuczącego po przygotowaniu – minimum 30 dni</w:t>
            </w:r>
          </w:p>
        </w:tc>
        <w:tc>
          <w:tcPr>
            <w:tcW w:w="1984" w:type="dxa"/>
            <w:vAlign w:val="center"/>
          </w:tcPr>
          <w:p w14:paraId="3C84D245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498734E5" w14:textId="77777777" w:rsidTr="00F61254">
        <w:tc>
          <w:tcPr>
            <w:tcW w:w="587" w:type="dxa"/>
            <w:vAlign w:val="center"/>
          </w:tcPr>
          <w:p w14:paraId="5581A41F" w14:textId="79E4CA2C" w:rsidR="00F61254" w:rsidRPr="00A728F3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28F3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568" w:type="dxa"/>
            <w:vAlign w:val="center"/>
          </w:tcPr>
          <w:p w14:paraId="69822CB9" w14:textId="421A5FB8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Cały proces badania odbywa się w temperaturze pokojowej (od 18 do 24◦C) bez konieczności zamian warunków metodologicznych (np. zmiany długości czasu inkubacji dla poszczególnych odczynników) w tym zakresie temperatury</w:t>
            </w:r>
          </w:p>
        </w:tc>
        <w:tc>
          <w:tcPr>
            <w:tcW w:w="1984" w:type="dxa"/>
            <w:vAlign w:val="center"/>
          </w:tcPr>
          <w:p w14:paraId="41FAB1E3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453A42F6" w14:textId="77777777" w:rsidTr="00F61254">
        <w:tc>
          <w:tcPr>
            <w:tcW w:w="587" w:type="dxa"/>
            <w:vAlign w:val="center"/>
          </w:tcPr>
          <w:p w14:paraId="3B46BA9C" w14:textId="2D72B604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568" w:type="dxa"/>
            <w:vAlign w:val="center"/>
          </w:tcPr>
          <w:p w14:paraId="0A962FCB" w14:textId="77777777" w:rsidR="00A728F3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Nitrocelulozowa membrana testu trwale umieszczona w komorze przez producenta – umożliwia</w:t>
            </w:r>
          </w:p>
          <w:p w14:paraId="2371C83E" w14:textId="2D313429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Wykonanie badania  i odczyt wyniku bez konieczności przenoszenia jej w trakcie trwania procedury</w:t>
            </w:r>
          </w:p>
        </w:tc>
        <w:tc>
          <w:tcPr>
            <w:tcW w:w="1984" w:type="dxa"/>
            <w:vAlign w:val="center"/>
          </w:tcPr>
          <w:p w14:paraId="5F1BB6A2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6C59C1BE" w14:textId="77777777" w:rsidTr="00F61254">
        <w:tc>
          <w:tcPr>
            <w:tcW w:w="587" w:type="dxa"/>
            <w:vAlign w:val="center"/>
          </w:tcPr>
          <w:p w14:paraId="548AA84F" w14:textId="15FD6D1F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68" w:type="dxa"/>
            <w:vAlign w:val="center"/>
          </w:tcPr>
          <w:p w14:paraId="6667C067" w14:textId="5BD8DC39" w:rsidR="00F61254" w:rsidRPr="00A728F3" w:rsidRDefault="00A728F3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Wymagane jest, aby testy były kalibrowane indywidualnie (dopuszcza się kalibrację co 28 dni)</w:t>
            </w:r>
          </w:p>
        </w:tc>
        <w:tc>
          <w:tcPr>
            <w:tcW w:w="1984" w:type="dxa"/>
            <w:vAlign w:val="center"/>
          </w:tcPr>
          <w:p w14:paraId="354D2A3A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5309BD25" w14:textId="77777777" w:rsidTr="00F61254">
        <w:tc>
          <w:tcPr>
            <w:tcW w:w="587" w:type="dxa"/>
            <w:vAlign w:val="center"/>
          </w:tcPr>
          <w:p w14:paraId="335F67D5" w14:textId="358EFF19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568" w:type="dxa"/>
            <w:vAlign w:val="center"/>
          </w:tcPr>
          <w:p w14:paraId="6E1F23DA" w14:textId="79BEDE4D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Kalibratory służące do wykreślenia krzywej kalibracyjnej, z ludzkim IgE, o znanym stężeniu (kU/L), podanym przez producenta, zawarte w każdym teście lub zapewnione nieodpłatnie przez wykonawcę co 28 dni</w:t>
            </w:r>
          </w:p>
        </w:tc>
        <w:tc>
          <w:tcPr>
            <w:tcW w:w="1984" w:type="dxa"/>
            <w:vAlign w:val="center"/>
          </w:tcPr>
          <w:p w14:paraId="3BAF66DB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5C02A300" w14:textId="77777777" w:rsidTr="00F61254">
        <w:tc>
          <w:tcPr>
            <w:tcW w:w="587" w:type="dxa"/>
            <w:vAlign w:val="center"/>
          </w:tcPr>
          <w:p w14:paraId="1006C56D" w14:textId="4667C8E2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6568" w:type="dxa"/>
            <w:vAlign w:val="center"/>
          </w:tcPr>
          <w:p w14:paraId="6ED091C1" w14:textId="3889F38C" w:rsidR="00F61254" w:rsidRPr="00A728F3" w:rsidRDefault="00A728F3" w:rsidP="00F61254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Możliwość podglądu i archiwizacji krzywej kalibracyjnej</w:t>
            </w:r>
          </w:p>
        </w:tc>
        <w:tc>
          <w:tcPr>
            <w:tcW w:w="1984" w:type="dxa"/>
            <w:vAlign w:val="center"/>
          </w:tcPr>
          <w:p w14:paraId="52748AEE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52E8B379" w14:textId="77777777" w:rsidTr="00F61254">
        <w:tc>
          <w:tcPr>
            <w:tcW w:w="587" w:type="dxa"/>
            <w:vAlign w:val="center"/>
          </w:tcPr>
          <w:p w14:paraId="53E4EA32" w14:textId="06AE66CA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6568" w:type="dxa"/>
            <w:vAlign w:val="center"/>
          </w:tcPr>
          <w:p w14:paraId="0FF9604D" w14:textId="4D9E87A5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Termin ważności odczynników – minimum 10 miesięcy liczony od dnia dostawy</w:t>
            </w:r>
          </w:p>
        </w:tc>
        <w:tc>
          <w:tcPr>
            <w:tcW w:w="1984" w:type="dxa"/>
            <w:vAlign w:val="center"/>
          </w:tcPr>
          <w:p w14:paraId="6CF01F2B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5F4EB740" w14:textId="77777777" w:rsidTr="00F61254">
        <w:tc>
          <w:tcPr>
            <w:tcW w:w="587" w:type="dxa"/>
            <w:vAlign w:val="center"/>
          </w:tcPr>
          <w:p w14:paraId="48EDFF85" w14:textId="753A9310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568" w:type="dxa"/>
            <w:vAlign w:val="center"/>
          </w:tcPr>
          <w:p w14:paraId="6D707365" w14:textId="4ADB9232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 xml:space="preserve">Szkolenie personelu przeprowadzone w siedzibie zamawiającego – w ramach ceny oferty </w:t>
            </w:r>
          </w:p>
        </w:tc>
        <w:tc>
          <w:tcPr>
            <w:tcW w:w="1984" w:type="dxa"/>
            <w:vAlign w:val="center"/>
          </w:tcPr>
          <w:p w14:paraId="0E07E0FB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26CC4381" w14:textId="77777777" w:rsidTr="00F61254">
        <w:tc>
          <w:tcPr>
            <w:tcW w:w="587" w:type="dxa"/>
            <w:vAlign w:val="center"/>
          </w:tcPr>
          <w:p w14:paraId="21909025" w14:textId="30A114F1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6568" w:type="dxa"/>
            <w:vAlign w:val="center"/>
          </w:tcPr>
          <w:p w14:paraId="41F69D3B" w14:textId="62B33BBA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Wymagane jest dostarczanie niezbędnego sprzętu do manualnego wykonania badania, odczytu i raportowania wyników – w ramach ceny oferty</w:t>
            </w:r>
          </w:p>
        </w:tc>
        <w:tc>
          <w:tcPr>
            <w:tcW w:w="1984" w:type="dxa"/>
            <w:vAlign w:val="center"/>
          </w:tcPr>
          <w:p w14:paraId="2CFAA658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61254" w:rsidRPr="00BA7380" w14:paraId="34008481" w14:textId="77777777" w:rsidTr="00F61254">
        <w:tc>
          <w:tcPr>
            <w:tcW w:w="587" w:type="dxa"/>
            <w:vAlign w:val="center"/>
          </w:tcPr>
          <w:p w14:paraId="49984AC5" w14:textId="43E3BE7F" w:rsidR="00F61254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6568" w:type="dxa"/>
            <w:vAlign w:val="center"/>
          </w:tcPr>
          <w:p w14:paraId="72794FDD" w14:textId="09CED2E2" w:rsidR="00F61254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Program do odczytywania i interpretacji testów oraz jego aktualizacja – w ramach ceny oferty (płyta CD lub DVD)</w:t>
            </w:r>
          </w:p>
        </w:tc>
        <w:tc>
          <w:tcPr>
            <w:tcW w:w="1984" w:type="dxa"/>
            <w:vAlign w:val="center"/>
          </w:tcPr>
          <w:p w14:paraId="32F9CB7F" w14:textId="77777777" w:rsidR="00F61254" w:rsidRDefault="00F61254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728F3" w:rsidRPr="00BA7380" w14:paraId="74B3DE79" w14:textId="77777777" w:rsidTr="00F61254">
        <w:tc>
          <w:tcPr>
            <w:tcW w:w="587" w:type="dxa"/>
            <w:vAlign w:val="center"/>
          </w:tcPr>
          <w:p w14:paraId="5E01E995" w14:textId="632C6009" w:rsidR="00A728F3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6568" w:type="dxa"/>
            <w:vAlign w:val="center"/>
          </w:tcPr>
          <w:p w14:paraId="0A6AE58E" w14:textId="1742D00A" w:rsidR="00A728F3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Instrukcje obsługi – wymagany język polski</w:t>
            </w:r>
          </w:p>
        </w:tc>
        <w:tc>
          <w:tcPr>
            <w:tcW w:w="1984" w:type="dxa"/>
            <w:vAlign w:val="center"/>
          </w:tcPr>
          <w:p w14:paraId="41F525B1" w14:textId="77777777" w:rsidR="00A728F3" w:rsidRDefault="00A728F3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728F3" w:rsidRPr="00BA7380" w14:paraId="5F69F76E" w14:textId="77777777" w:rsidTr="00F61254">
        <w:tc>
          <w:tcPr>
            <w:tcW w:w="587" w:type="dxa"/>
            <w:vAlign w:val="center"/>
          </w:tcPr>
          <w:p w14:paraId="729D48C4" w14:textId="4DDBAFD0" w:rsidR="00A728F3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6568" w:type="dxa"/>
            <w:vAlign w:val="center"/>
          </w:tcPr>
          <w:p w14:paraId="16FD88C2" w14:textId="52F32DC8" w:rsidR="00A728F3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Język interpretacji, raportowania i archiwizacji wyników badań – wymagany jest język polski</w:t>
            </w:r>
          </w:p>
        </w:tc>
        <w:tc>
          <w:tcPr>
            <w:tcW w:w="1984" w:type="dxa"/>
            <w:vAlign w:val="center"/>
          </w:tcPr>
          <w:p w14:paraId="17743034" w14:textId="77777777" w:rsidR="00A728F3" w:rsidRDefault="00A728F3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728F3" w:rsidRPr="00BA7380" w14:paraId="22DA278D" w14:textId="77777777" w:rsidTr="00F61254">
        <w:tc>
          <w:tcPr>
            <w:tcW w:w="587" w:type="dxa"/>
            <w:vAlign w:val="center"/>
          </w:tcPr>
          <w:p w14:paraId="118346D5" w14:textId="689DF586" w:rsidR="00A728F3" w:rsidRPr="0022107C" w:rsidRDefault="00A728F3" w:rsidP="00BF69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07C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6568" w:type="dxa"/>
            <w:vAlign w:val="center"/>
          </w:tcPr>
          <w:p w14:paraId="74411D7C" w14:textId="2F5C8E93" w:rsidR="00A728F3" w:rsidRPr="00A728F3" w:rsidRDefault="00A728F3" w:rsidP="00A728F3">
            <w:pPr>
              <w:rPr>
                <w:rFonts w:ascii="Arial" w:hAnsi="Arial" w:cs="Arial"/>
              </w:rPr>
            </w:pPr>
            <w:r w:rsidRPr="00A728F3">
              <w:rPr>
                <w:rFonts w:ascii="Arial" w:hAnsi="Arial" w:cs="Arial"/>
              </w:rPr>
              <w:t>Obraz każdego paska – zapisany i archiwizowany w programie - możliwość automatycznej identyfikacji panelu</w:t>
            </w:r>
          </w:p>
        </w:tc>
        <w:tc>
          <w:tcPr>
            <w:tcW w:w="1984" w:type="dxa"/>
            <w:vAlign w:val="center"/>
          </w:tcPr>
          <w:p w14:paraId="01152286" w14:textId="77777777" w:rsidR="00A728F3" w:rsidRDefault="00A728F3" w:rsidP="00BF69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56BE37E" w14:textId="77777777" w:rsidR="002C6B42" w:rsidRDefault="002C6B42" w:rsidP="001A716B">
      <w:pPr>
        <w:ind w:firstLine="708"/>
      </w:pPr>
    </w:p>
    <w:p w14:paraId="470360D8" w14:textId="77777777" w:rsidR="002C6B42" w:rsidRDefault="002C6B42" w:rsidP="001A716B">
      <w:pPr>
        <w:ind w:firstLine="708"/>
      </w:pPr>
    </w:p>
    <w:p w14:paraId="67A712E9" w14:textId="77777777" w:rsidR="002C6B42" w:rsidRPr="0092346C" w:rsidRDefault="002C6B42" w:rsidP="002C6B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C636B">
        <w:rPr>
          <w:rFonts w:ascii="Calibri" w:hAnsi="Calibri" w:cs="Calibri"/>
        </w:rPr>
        <w:t xml:space="preserve">świadczamy, że oferowane powyżej wyspecyfikowane urządzenie jest kompletne i będzie po uruchomieniu gotowe do pracy bez żadnych dodatkowych zakupów i inwestycji (poza </w:t>
      </w:r>
      <w:r>
        <w:rPr>
          <w:rFonts w:ascii="Calibri" w:hAnsi="Calibri" w:cs="Calibri"/>
        </w:rPr>
        <w:t xml:space="preserve">materiałami eksploatacyjnymi). </w:t>
      </w:r>
    </w:p>
    <w:p w14:paraId="0F8D69B0" w14:textId="77777777" w:rsidR="002C6B42" w:rsidRPr="008C636B" w:rsidRDefault="002C6B42" w:rsidP="002C6B42">
      <w:pPr>
        <w:jc w:val="both"/>
        <w:rPr>
          <w:rFonts w:ascii="Calibri" w:hAnsi="Calibri" w:cs="Calibri"/>
        </w:rPr>
      </w:pPr>
    </w:p>
    <w:p w14:paraId="3F1C2DC6" w14:textId="77777777" w:rsidR="002C6B42" w:rsidRPr="008C636B" w:rsidRDefault="002C6B42" w:rsidP="002C6B42">
      <w:pPr>
        <w:jc w:val="both"/>
        <w:rPr>
          <w:rFonts w:ascii="Calibri" w:hAnsi="Calibri" w:cs="Calibri"/>
          <w:i/>
        </w:rPr>
      </w:pPr>
      <w:r w:rsidRPr="008C636B">
        <w:rPr>
          <w:rFonts w:ascii="Calibri" w:hAnsi="Calibri" w:cs="Calibri"/>
        </w:rPr>
        <w:t xml:space="preserve">......................., dnia ........................             </w:t>
      </w:r>
      <w:r w:rsidRPr="008C636B">
        <w:rPr>
          <w:rFonts w:ascii="Calibri" w:hAnsi="Calibri" w:cs="Calibri"/>
        </w:rPr>
        <w:tab/>
      </w:r>
      <w:r w:rsidRPr="008C636B">
        <w:rPr>
          <w:rFonts w:ascii="Calibri" w:hAnsi="Calibri" w:cs="Calibri"/>
        </w:rPr>
        <w:tab/>
      </w:r>
      <w:r w:rsidRPr="008C636B">
        <w:rPr>
          <w:rFonts w:ascii="Calibri" w:hAnsi="Calibri" w:cs="Calibri"/>
        </w:rPr>
        <w:tab/>
      </w:r>
      <w:r w:rsidRPr="008C636B">
        <w:rPr>
          <w:rFonts w:ascii="Calibri" w:hAnsi="Calibri" w:cs="Calibri"/>
        </w:rPr>
        <w:tab/>
        <w:t>…..................................................</w:t>
      </w:r>
    </w:p>
    <w:p w14:paraId="3714DE8B" w14:textId="77777777" w:rsidR="002C6B42" w:rsidRPr="008C636B" w:rsidRDefault="002C6B42" w:rsidP="002C6B42">
      <w:pPr>
        <w:pStyle w:val="Tekstprzypisudolnego"/>
        <w:ind w:left="4820" w:firstLine="0"/>
        <w:jc w:val="center"/>
        <w:rPr>
          <w:rFonts w:ascii="Calibri" w:hAnsi="Calibri" w:cs="Calibri"/>
          <w:bCs/>
          <w:i/>
        </w:rPr>
      </w:pPr>
      <w:r w:rsidRPr="008C636B">
        <w:rPr>
          <w:rFonts w:ascii="Calibri" w:hAnsi="Calibri" w:cs="Calibri"/>
          <w:i/>
        </w:rPr>
        <w:t>Podpisy przedstawicieli Wykonawcy</w:t>
      </w:r>
    </w:p>
    <w:p w14:paraId="36AA5DA1" w14:textId="77777777" w:rsidR="002C6B42" w:rsidRPr="0092346C" w:rsidRDefault="002C6B42" w:rsidP="002C6B42">
      <w:pPr>
        <w:ind w:left="4962"/>
        <w:jc w:val="center"/>
        <w:rPr>
          <w:rFonts w:ascii="Calibri" w:hAnsi="Calibri" w:cs="Calibri"/>
        </w:rPr>
      </w:pPr>
      <w:r w:rsidRPr="008C636B">
        <w:rPr>
          <w:rFonts w:ascii="Calibri" w:hAnsi="Calibri" w:cs="Calibri"/>
          <w:bCs/>
          <w:i/>
        </w:rPr>
        <w:t xml:space="preserve">upoważnionych do jego reprezentowania </w:t>
      </w:r>
    </w:p>
    <w:p w14:paraId="40D6A8E1" w14:textId="77777777" w:rsidR="002C6B42" w:rsidRPr="00BA7380" w:rsidRDefault="002C6B42" w:rsidP="002C6B42">
      <w:pPr>
        <w:rPr>
          <w:rFonts w:ascii="Calibri" w:hAnsi="Calibri" w:cs="Calibri"/>
          <w:sz w:val="24"/>
          <w:szCs w:val="24"/>
        </w:rPr>
      </w:pPr>
    </w:p>
    <w:p w14:paraId="06198CD8" w14:textId="77777777" w:rsidR="002C6B42" w:rsidRDefault="002C6B42" w:rsidP="001A716B">
      <w:pPr>
        <w:ind w:firstLine="708"/>
      </w:pPr>
    </w:p>
    <w:p w14:paraId="1D3CEA6D" w14:textId="77777777" w:rsidR="002C6B42" w:rsidRPr="001A716B" w:rsidRDefault="002C6B42" w:rsidP="001A716B">
      <w:pPr>
        <w:ind w:firstLine="708"/>
      </w:pPr>
    </w:p>
    <w:sectPr w:rsidR="002C6B42" w:rsidRPr="001A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7C9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3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B07"/>
    <w:multiLevelType w:val="hybridMultilevel"/>
    <w:tmpl w:val="AE72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535"/>
    <w:multiLevelType w:val="hybridMultilevel"/>
    <w:tmpl w:val="A3D6D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57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776E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D525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12E2"/>
    <w:multiLevelType w:val="hybridMultilevel"/>
    <w:tmpl w:val="FFC2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F4E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548D"/>
    <w:multiLevelType w:val="hybridMultilevel"/>
    <w:tmpl w:val="FBB63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07B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E535B"/>
    <w:multiLevelType w:val="hybridMultilevel"/>
    <w:tmpl w:val="F0A6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07A7"/>
    <w:multiLevelType w:val="hybridMultilevel"/>
    <w:tmpl w:val="6816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85D"/>
    <w:multiLevelType w:val="hybridMultilevel"/>
    <w:tmpl w:val="FD7C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5489">
    <w:abstractNumId w:val="11"/>
  </w:num>
  <w:num w:numId="2" w16cid:durableId="604118379">
    <w:abstractNumId w:val="11"/>
  </w:num>
  <w:num w:numId="3" w16cid:durableId="929436801">
    <w:abstractNumId w:val="0"/>
  </w:num>
  <w:num w:numId="4" w16cid:durableId="1531214794">
    <w:abstractNumId w:val="8"/>
  </w:num>
  <w:num w:numId="5" w16cid:durableId="1513572759">
    <w:abstractNumId w:val="5"/>
  </w:num>
  <w:num w:numId="6" w16cid:durableId="1471290653">
    <w:abstractNumId w:val="10"/>
  </w:num>
  <w:num w:numId="7" w16cid:durableId="524294327">
    <w:abstractNumId w:val="4"/>
  </w:num>
  <w:num w:numId="8" w16cid:durableId="2048289081">
    <w:abstractNumId w:val="0"/>
  </w:num>
  <w:num w:numId="9" w16cid:durableId="217983531">
    <w:abstractNumId w:val="13"/>
  </w:num>
  <w:num w:numId="10" w16cid:durableId="1491941280">
    <w:abstractNumId w:val="6"/>
  </w:num>
  <w:num w:numId="11" w16cid:durableId="1127972564">
    <w:abstractNumId w:val="1"/>
  </w:num>
  <w:num w:numId="12" w16cid:durableId="1333027428">
    <w:abstractNumId w:val="2"/>
  </w:num>
  <w:num w:numId="13" w16cid:durableId="1390615894">
    <w:abstractNumId w:val="3"/>
  </w:num>
  <w:num w:numId="14" w16cid:durableId="1349018959">
    <w:abstractNumId w:val="7"/>
  </w:num>
  <w:num w:numId="15" w16cid:durableId="1558543068">
    <w:abstractNumId w:val="9"/>
  </w:num>
  <w:num w:numId="16" w16cid:durableId="505511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6B"/>
    <w:rsid w:val="00094DC0"/>
    <w:rsid w:val="0009519F"/>
    <w:rsid w:val="000F6DE9"/>
    <w:rsid w:val="00190991"/>
    <w:rsid w:val="001A716B"/>
    <w:rsid w:val="001B2E41"/>
    <w:rsid w:val="001D2858"/>
    <w:rsid w:val="001E300E"/>
    <w:rsid w:val="001E720A"/>
    <w:rsid w:val="002016B0"/>
    <w:rsid w:val="0022107C"/>
    <w:rsid w:val="002C6B42"/>
    <w:rsid w:val="00333D8D"/>
    <w:rsid w:val="0038131A"/>
    <w:rsid w:val="003B1EE8"/>
    <w:rsid w:val="00471055"/>
    <w:rsid w:val="00494738"/>
    <w:rsid w:val="005913F9"/>
    <w:rsid w:val="005B484A"/>
    <w:rsid w:val="00617DCB"/>
    <w:rsid w:val="00635D3E"/>
    <w:rsid w:val="00664A75"/>
    <w:rsid w:val="006B161B"/>
    <w:rsid w:val="006E12A0"/>
    <w:rsid w:val="006F1DED"/>
    <w:rsid w:val="00786952"/>
    <w:rsid w:val="00813904"/>
    <w:rsid w:val="00936E4D"/>
    <w:rsid w:val="00A728F3"/>
    <w:rsid w:val="00AE63E2"/>
    <w:rsid w:val="00BE3837"/>
    <w:rsid w:val="00C768A2"/>
    <w:rsid w:val="00D740F0"/>
    <w:rsid w:val="00DB1D23"/>
    <w:rsid w:val="00F27B8F"/>
    <w:rsid w:val="00F61254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905"/>
  <w15:chartTrackingRefBased/>
  <w15:docId w15:val="{FAA74A93-E8B6-4B1D-BEF4-C91EB75B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A716B"/>
    <w:pPr>
      <w:widowControl w:val="0"/>
      <w:suppressLineNumbers/>
      <w:suppressAutoHyphens/>
      <w:ind w:left="283" w:hanging="283"/>
    </w:pPr>
    <w:rPr>
      <w:rFonts w:eastAsia="Lucida Sans Unicode" w:cs="Tahoma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16B"/>
    <w:rPr>
      <w:rFonts w:ascii="Times New Roman" w:eastAsia="Lucida Sans Unicode" w:hAnsi="Times New Roman" w:cs="Tahoma"/>
      <w:kern w:val="1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333D8D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33D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13F9"/>
    <w:rPr>
      <w:rFonts w:cs="Times New Roman"/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B2E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HD. Dworzański</dc:creator>
  <cp:keywords/>
  <dc:description/>
  <cp:lastModifiedBy>Krystyna Karaś</cp:lastModifiedBy>
  <cp:revision>6</cp:revision>
  <cp:lastPrinted>2022-11-09T08:44:00Z</cp:lastPrinted>
  <dcterms:created xsi:type="dcterms:W3CDTF">2023-10-25T07:20:00Z</dcterms:created>
  <dcterms:modified xsi:type="dcterms:W3CDTF">2024-11-15T13:18:00Z</dcterms:modified>
</cp:coreProperties>
</file>